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spacing w:after="7" w:line="268" w:lineRule="auto"/>
        <w:ind w:left="468" w:hanging="10"/>
        <w:jc w:val="both"/>
        <w:rPr>
          <w:rFonts w:ascii="Times New Roman" w:cs="Times New Roman" w:eastAsia="Times New Roman" w:hAnsi="Times New Roman"/>
          <w:color w:val="000000"/>
          <w:sz w:val="24"/>
          <w:szCs w:val="24"/>
        </w:rPr>
      </w:pPr>
      <w:r w:rsidDel="00000000" w:rsidR="00000000" w:rsidRPr="00000000">
        <w:rPr>
          <w:rtl w:val="0"/>
        </w:rPr>
      </w:r>
    </w:p>
    <w:tbl>
      <w:tblPr>
        <w:tblStyle w:val="Table1"/>
        <w:tblW w:w="9436.0" w:type="dxa"/>
        <w:jc w:val="left"/>
        <w:tblInd w:w="-115.0" w:type="dxa"/>
        <w:tblBorders>
          <w:bottom w:color="000000" w:space="0" w:sz="4" w:val="single"/>
        </w:tblBorders>
        <w:tblLayout w:type="fixed"/>
        <w:tblLook w:val="0000"/>
      </w:tblPr>
      <w:tblGrid>
        <w:gridCol w:w="1712"/>
        <w:gridCol w:w="581"/>
        <w:gridCol w:w="2085"/>
        <w:gridCol w:w="2075"/>
        <w:gridCol w:w="2411"/>
        <w:gridCol w:w="572"/>
        <w:tblGridChange w:id="0">
          <w:tblGrid>
            <w:gridCol w:w="1712"/>
            <w:gridCol w:w="581"/>
            <w:gridCol w:w="2085"/>
            <w:gridCol w:w="2075"/>
            <w:gridCol w:w="2411"/>
            <w:gridCol w:w="572"/>
          </w:tblGrid>
        </w:tblGridChange>
      </w:tblGrid>
      <w:tr>
        <w:trPr>
          <w:cantSplit w:val="0"/>
          <w:trHeight w:val="500" w:hRule="atLeast"/>
          <w:tblHeader w:val="0"/>
        </w:trPr>
        <w:tc>
          <w:tcPr>
            <w:vMerge w:val="restart"/>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4">
            <w:pPr>
              <w:spacing w:after="7" w:lineRule="auto"/>
              <w:ind w:left="468" w:hanging="1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114300" distR="114300">
                  <wp:extent cx="723900" cy="57912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3900" cy="579120"/>
                          </a:xfrm>
                          <a:prstGeom prst="rect"/>
                          <a:ln/>
                        </pic:spPr>
                      </pic:pic>
                    </a:graphicData>
                  </a:graphic>
                </wp:inline>
              </w:drawing>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spacing w:after="7" w:lineRule="auto"/>
              <w:ind w:left="468" w:hanging="10"/>
              <w:rPr>
                <w:rFonts w:ascii="Times New Roman" w:cs="Times New Roman" w:eastAsia="Times New Roman" w:hAnsi="Times New Roman"/>
                <w:b w:val="1"/>
                <w:color w:val="000000"/>
                <w:sz w:val="32"/>
                <w:szCs w:val="32"/>
                <w:highlight w:val="yellow"/>
              </w:rPr>
            </w:pPr>
            <w:r w:rsidDel="00000000" w:rsidR="00000000" w:rsidRPr="00000000">
              <w:rPr>
                <w:rFonts w:ascii="Times New Roman" w:cs="Times New Roman" w:eastAsia="Times New Roman" w:hAnsi="Times New Roman"/>
                <w:b w:val="1"/>
                <w:color w:val="000000"/>
                <w:sz w:val="32"/>
                <w:szCs w:val="32"/>
                <w:highlight w:val="yellow"/>
                <w:rtl w:val="0"/>
              </w:rPr>
              <w:t xml:space="preserve">ISTITUTO</w:t>
            </w:r>
          </w:p>
        </w:tc>
      </w:tr>
      <w:tr>
        <w:trPr>
          <w:cantSplit w:val="0"/>
          <w:trHeight w:val="440" w:hRule="atLeast"/>
          <w:tblHeader w:val="0"/>
        </w:trPr>
        <w:tc>
          <w:tcPr>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32"/>
                <w:szCs w:val="32"/>
                <w:highlight w:val="yellow"/>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B">
            <w:pPr>
              <w:spacing w:after="7" w:lineRule="auto"/>
              <w:ind w:left="468" w:hanging="10"/>
              <w:jc w:val="both"/>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C">
            <w:pPr>
              <w:spacing w:after="7" w:line="268" w:lineRule="auto"/>
              <w:ind w:left="468" w:hanging="10"/>
              <w:jc w:val="both"/>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D">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F">
            <w:pPr>
              <w:spacing w:after="7" w:lineRule="auto"/>
              <w:ind w:left="468" w:hanging="10"/>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spacing w:after="7" w:lineRule="auto"/>
              <w:ind w:left="468" w:hanging="10"/>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spacing w:after="7" w:lineRule="auto"/>
              <w:ind w:left="468" w:hanging="10"/>
              <w:jc w:val="righ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2">
      <w:pPr>
        <w:keepNext w:val="1"/>
        <w:keepLines w:val="1"/>
        <w:spacing w:after="7" w:line="266" w:lineRule="auto"/>
        <w:ind w:right="117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keepNext w:val="1"/>
        <w:keepLines w:val="1"/>
        <w:spacing w:after="7" w:line="266" w:lineRule="auto"/>
        <w:ind w:left="1344" w:right="1175" w:hanging="1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CONVENZIONE TRA ISTITUZIONE SCOLASTICA E SOGGETTO OSPITANTE </w:t>
      </w:r>
    </w:p>
    <w:p w:rsidR="00000000" w:rsidDel="00000000" w:rsidP="00000000" w:rsidRDefault="00000000" w:rsidRPr="00000000" w14:paraId="00000014">
      <w:pPr>
        <w:spacing w:after="16"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spacing w:after="9" w:line="264" w:lineRule="auto"/>
        <w:ind w:left="10" w:right="103" w:hanging="1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 </w:t>
      </w:r>
    </w:p>
    <w:p w:rsidR="00000000" w:rsidDel="00000000" w:rsidP="00000000" w:rsidRDefault="00000000" w:rsidRPr="00000000" w14:paraId="00000016">
      <w:pPr>
        <w:spacing w:after="16" w:line="256" w:lineRule="auto"/>
        <w:ind w:right="43"/>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pacing w:after="7" w:line="268" w:lineRule="auto"/>
        <w:ind w:left="86" w:right="19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Istituto</w:t>
      </w:r>
      <w:r w:rsidDel="00000000" w:rsidR="00000000" w:rsidRPr="00000000">
        <w:rPr>
          <w:rFonts w:ascii="Times New Roman" w:cs="Times New Roman" w:eastAsia="Times New Roman" w:hAnsi="Times New Roman"/>
          <w:color w:val="000000"/>
          <w:sz w:val="24"/>
          <w:szCs w:val="24"/>
          <w:highlight w:val="yellow"/>
          <w:rtl w:val="0"/>
        </w:rPr>
        <w:t xml:space="preserve"> con sede in </w:t>
      </w:r>
      <w:r w:rsidDel="00000000" w:rsidR="00000000" w:rsidRPr="00000000">
        <w:rPr>
          <w:rFonts w:ascii="Times New Roman" w:cs="Times New Roman" w:eastAsia="Times New Roman" w:hAnsi="Times New Roman"/>
          <w:b w:val="1"/>
          <w:color w:val="000000"/>
          <w:sz w:val="24"/>
          <w:szCs w:val="24"/>
          <w:highlight w:val="yellow"/>
          <w:rtl w:val="0"/>
        </w:rPr>
        <w:t xml:space="preserve">indirizzo, </w:t>
      </w:r>
      <w:r w:rsidDel="00000000" w:rsidR="00000000" w:rsidRPr="00000000">
        <w:rPr>
          <w:rFonts w:ascii="Times New Roman" w:cs="Times New Roman" w:eastAsia="Times New Roman" w:hAnsi="Times New Roman"/>
          <w:color w:val="000000"/>
          <w:sz w:val="24"/>
          <w:szCs w:val="24"/>
          <w:highlight w:val="yellow"/>
          <w:rtl w:val="0"/>
        </w:rPr>
        <w:t xml:space="preserve">codice fiscale </w:t>
      </w:r>
      <w:r w:rsidDel="00000000" w:rsidR="00000000" w:rsidRPr="00000000">
        <w:rPr>
          <w:rFonts w:ascii="Times New Roman" w:cs="Times New Roman" w:eastAsia="Times New Roman" w:hAnsi="Times New Roman"/>
          <w:b w:val="1"/>
          <w:color w:val="000000"/>
          <w:sz w:val="24"/>
          <w:szCs w:val="24"/>
          <w:highlight w:val="yellow"/>
          <w:rtl w:val="0"/>
        </w:rPr>
        <w:t xml:space="preserve">CF</w:t>
      </w:r>
      <w:r w:rsidDel="00000000" w:rsidR="00000000" w:rsidRPr="00000000">
        <w:rPr>
          <w:rFonts w:ascii="Times New Roman" w:cs="Times New Roman" w:eastAsia="Times New Roman" w:hAnsi="Times New Roman"/>
          <w:color w:val="000000"/>
          <w:sz w:val="24"/>
          <w:szCs w:val="24"/>
          <w:highlight w:val="yellow"/>
          <w:rtl w:val="0"/>
        </w:rPr>
        <w:t xml:space="preserve"> d’ora in poi denominato “istituzione scolastica”, rappresentato da</w:t>
      </w:r>
      <w:r w:rsidDel="00000000" w:rsidR="00000000" w:rsidRPr="00000000">
        <w:rPr>
          <w:rFonts w:ascii="Times New Roman" w:cs="Times New Roman" w:eastAsia="Times New Roman" w:hAnsi="Times New Roman"/>
          <w:b w:val="1"/>
          <w:color w:val="000000"/>
          <w:sz w:val="24"/>
          <w:szCs w:val="24"/>
          <w:highlight w:val="yellow"/>
          <w:rtl w:val="0"/>
        </w:rPr>
        <w:t xml:space="preserve"> dirigente scolastico</w:t>
      </w:r>
      <w:r w:rsidDel="00000000" w:rsidR="00000000" w:rsidRPr="00000000">
        <w:rPr>
          <w:rFonts w:ascii="Times New Roman" w:cs="Times New Roman" w:eastAsia="Times New Roman" w:hAnsi="Times New Roman"/>
          <w:color w:val="000000"/>
          <w:sz w:val="24"/>
          <w:szCs w:val="24"/>
          <w:highlight w:val="yellow"/>
          <w:rtl w:val="0"/>
        </w:rPr>
        <w:t xml:space="preserve"> nato a </w:t>
      </w:r>
      <w:r w:rsidDel="00000000" w:rsidR="00000000" w:rsidRPr="00000000">
        <w:rPr>
          <w:rFonts w:ascii="Times New Roman" w:cs="Times New Roman" w:eastAsia="Times New Roman" w:hAnsi="Times New Roman"/>
          <w:b w:val="1"/>
          <w:color w:val="000000"/>
          <w:sz w:val="24"/>
          <w:szCs w:val="24"/>
          <w:highlight w:val="yellow"/>
          <w:rtl w:val="0"/>
        </w:rPr>
        <w:t xml:space="preserve">luogo e data di nascita</w:t>
      </w:r>
      <w:r w:rsidDel="00000000" w:rsidR="00000000" w:rsidRPr="00000000">
        <w:rPr>
          <w:rFonts w:ascii="Times New Roman" w:cs="Times New Roman" w:eastAsia="Times New Roman" w:hAnsi="Times New Roman"/>
          <w:color w:val="000000"/>
          <w:sz w:val="24"/>
          <w:szCs w:val="24"/>
          <w:highlight w:val="yellow"/>
          <w:rtl w:val="0"/>
        </w:rPr>
        <w:t xml:space="preserve">, codice fiscale </w:t>
      </w:r>
      <w:r w:rsidDel="00000000" w:rsidR="00000000" w:rsidRPr="00000000">
        <w:rPr>
          <w:rFonts w:ascii="Times New Roman" w:cs="Times New Roman" w:eastAsia="Times New Roman" w:hAnsi="Times New Roman"/>
          <w:b w:val="1"/>
          <w:color w:val="000000"/>
          <w:sz w:val="24"/>
          <w:szCs w:val="24"/>
          <w:highlight w:val="yellow"/>
          <w:rtl w:val="0"/>
        </w:rPr>
        <w:t xml:space="preserve">cf  dirigente scolastico</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8">
      <w:pPr>
        <w:spacing w:after="19"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spacing w:after="9" w:line="264" w:lineRule="auto"/>
        <w:ind w:left="10" w:right="105" w:hanging="1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w:t>
      </w:r>
    </w:p>
    <w:p w:rsidR="00000000" w:rsidDel="00000000" w:rsidP="00000000" w:rsidRDefault="00000000" w:rsidRPr="00000000" w14:paraId="0000001A">
      <w:pPr>
        <w:spacing w:after="16"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7" w:line="268" w:lineRule="auto"/>
        <w:ind w:left="96" w:right="191" w:hanging="10"/>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Parlamento Europeo Giovani - APS (PEG) - con sede legale in Roma, c/o </w:t>
      </w:r>
      <w:r w:rsidDel="00000000" w:rsidR="00000000" w:rsidRPr="00000000">
        <w:rPr>
          <w:rFonts w:ascii="Times New Roman" w:cs="Times New Roman" w:eastAsia="Times New Roman" w:hAnsi="Times New Roman"/>
          <w:sz w:val="24"/>
          <w:szCs w:val="24"/>
          <w:rtl w:val="0"/>
        </w:rPr>
        <w:t xml:space="preserve">Circonvallazione Clodia 163/167</w:t>
      </w:r>
      <w:r w:rsidDel="00000000" w:rsidR="00000000" w:rsidRPr="00000000">
        <w:rPr>
          <w:rFonts w:ascii="Times New Roman" w:cs="Times New Roman" w:eastAsia="Times New Roman" w:hAnsi="Times New Roman"/>
          <w:color w:val="000000"/>
          <w:sz w:val="24"/>
          <w:szCs w:val="24"/>
          <w:rtl w:val="0"/>
        </w:rPr>
        <w:t xml:space="preserve">, 001</w:t>
      </w:r>
      <w:r w:rsidDel="00000000" w:rsidR="00000000" w:rsidRPr="00000000">
        <w:rPr>
          <w:rFonts w:ascii="Times New Roman" w:cs="Times New Roman" w:eastAsia="Times New Roman" w:hAnsi="Times New Roman"/>
          <w:sz w:val="24"/>
          <w:szCs w:val="24"/>
          <w:rtl w:val="0"/>
        </w:rPr>
        <w:t xml:space="preserve">95</w:t>
      </w:r>
      <w:r w:rsidDel="00000000" w:rsidR="00000000" w:rsidRPr="00000000">
        <w:rPr>
          <w:rFonts w:ascii="Times New Roman" w:cs="Times New Roman" w:eastAsia="Times New Roman" w:hAnsi="Times New Roman"/>
          <w:color w:val="000000"/>
          <w:sz w:val="24"/>
          <w:szCs w:val="24"/>
          <w:rtl w:val="0"/>
        </w:rPr>
        <w:t xml:space="preserve">, Roma, codice fiscale 97147550152 d’ora in poi denominato “soggetto ospitante”, rappresentato dal Sig. </w:t>
      </w:r>
      <w:r w:rsidDel="00000000" w:rsidR="00000000" w:rsidRPr="00000000">
        <w:rPr>
          <w:rFonts w:ascii="Times New Roman" w:cs="Times New Roman" w:eastAsia="Times New Roman" w:hAnsi="Times New Roman"/>
          <w:sz w:val="24"/>
          <w:szCs w:val="24"/>
          <w:rtl w:val="0"/>
        </w:rPr>
        <w:t xml:space="preserve">Federico Pisani </w:t>
      </w:r>
      <w:r w:rsidDel="00000000" w:rsidR="00000000" w:rsidRPr="00000000">
        <w:rPr>
          <w:rFonts w:ascii="Times New Roman" w:cs="Times New Roman" w:eastAsia="Times New Roman" w:hAnsi="Times New Roman"/>
          <w:color w:val="000000"/>
          <w:sz w:val="24"/>
          <w:szCs w:val="24"/>
          <w:rtl w:val="0"/>
        </w:rPr>
        <w:t xml:space="preserve">nato a </w:t>
      </w:r>
      <w:r w:rsidDel="00000000" w:rsidR="00000000" w:rsidRPr="00000000">
        <w:rPr>
          <w:rFonts w:ascii="Times New Roman" w:cs="Times New Roman" w:eastAsia="Times New Roman" w:hAnsi="Times New Roman"/>
          <w:sz w:val="24"/>
          <w:szCs w:val="24"/>
          <w:rtl w:val="0"/>
        </w:rPr>
        <w:t xml:space="preserve">Genova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GE</w:t>
      </w:r>
      <w:r w:rsidDel="00000000" w:rsidR="00000000" w:rsidRPr="00000000">
        <w:rPr>
          <w:rFonts w:ascii="Times New Roman" w:cs="Times New Roman" w:eastAsia="Times New Roman" w:hAnsi="Times New Roman"/>
          <w:color w:val="000000"/>
          <w:sz w:val="24"/>
          <w:szCs w:val="24"/>
          <w:rtl w:val="0"/>
        </w:rPr>
        <w:t xml:space="preserve">) il </w:t>
      </w:r>
      <w:r w:rsidDel="00000000" w:rsidR="00000000" w:rsidRPr="00000000">
        <w:rPr>
          <w:rFonts w:ascii="Times New Roman" w:cs="Times New Roman" w:eastAsia="Times New Roman" w:hAnsi="Times New Roman"/>
          <w:sz w:val="24"/>
          <w:szCs w:val="24"/>
          <w:rtl w:val="0"/>
        </w:rPr>
        <w:t xml:space="preserve">15/07/2002</w:t>
      </w:r>
      <w:r w:rsidDel="00000000" w:rsidR="00000000" w:rsidRPr="00000000">
        <w:rPr>
          <w:rFonts w:ascii="Times New Roman" w:cs="Times New Roman" w:eastAsia="Times New Roman" w:hAnsi="Times New Roman"/>
          <w:color w:val="000000"/>
          <w:sz w:val="24"/>
          <w:szCs w:val="24"/>
          <w:rtl w:val="0"/>
        </w:rPr>
        <w:t xml:space="preserve">, codice fiscale</w:t>
      </w:r>
      <w:r w:rsidDel="00000000" w:rsidR="00000000" w:rsidRPr="00000000">
        <w:rPr>
          <w:rFonts w:ascii="Times New Roman" w:cs="Times New Roman" w:eastAsia="Times New Roman" w:hAnsi="Times New Roman"/>
          <w:sz w:val="24"/>
          <w:szCs w:val="24"/>
          <w:rtl w:val="0"/>
        </w:rPr>
        <w:t xml:space="preserve"> PSNFRC02L15D969Y</w:t>
      </w:r>
      <w:r w:rsidDel="00000000" w:rsidR="00000000" w:rsidRPr="00000000">
        <w:rPr>
          <w:rFonts w:ascii="Times New Roman" w:cs="Times New Roman" w:eastAsia="Times New Roman" w:hAnsi="Times New Roman"/>
          <w:color w:val="000000"/>
          <w:sz w:val="24"/>
          <w:szCs w:val="24"/>
          <w:rtl w:val="0"/>
        </w:rPr>
        <w:t xml:space="preserve">, in qualità di Legale Rappresentante </w:t>
      </w:r>
    </w:p>
    <w:p w:rsidR="00000000" w:rsidDel="00000000" w:rsidP="00000000" w:rsidRDefault="00000000" w:rsidRPr="00000000" w14:paraId="0000001C">
      <w:pPr>
        <w:spacing w:after="7" w:line="268" w:lineRule="auto"/>
        <w:ind w:left="96" w:right="191" w:hanging="10"/>
        <w:jc w:val="both"/>
        <w:rPr>
          <w:rFonts w:ascii="Times New Roman" w:cs="Times New Roman" w:eastAsia="Times New Roman" w:hAnsi="Times New Roman"/>
          <w:sz w:val="24"/>
          <w:szCs w:val="24"/>
        </w:rPr>
      </w:pPr>
      <w:bookmarkStart w:colFirst="0" w:colLast="0" w:name="_heading=h.2f6q1lehpdqw" w:id="1"/>
      <w:bookmarkEnd w:id="1"/>
      <w:r w:rsidDel="00000000" w:rsidR="00000000" w:rsidRPr="00000000">
        <w:rPr>
          <w:rtl w:val="0"/>
        </w:rPr>
      </w:r>
    </w:p>
    <w:p w:rsidR="00000000" w:rsidDel="00000000" w:rsidP="00000000" w:rsidRDefault="00000000" w:rsidRPr="00000000" w14:paraId="0000001D">
      <w:pPr>
        <w:spacing w:after="15" w:line="256" w:lineRule="auto"/>
        <w:ind w:left="10" w:right="107"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Premesso che </w:t>
      </w:r>
      <w:r w:rsidDel="00000000" w:rsidR="00000000" w:rsidRPr="00000000">
        <w:rPr>
          <w:rtl w:val="0"/>
        </w:rPr>
      </w:r>
    </w:p>
    <w:p w:rsidR="00000000" w:rsidDel="00000000" w:rsidP="00000000" w:rsidRDefault="00000000" w:rsidRPr="00000000" w14:paraId="0000001E">
      <w:pPr>
        <w:spacing w:after="12"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numPr>
          <w:ilvl w:val="0"/>
          <w:numId w:val="2"/>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 sensi dell’art. 1 D. Lgs. 77/05 e s.m.i., i PCTO costituiscono una modalità di realizzazione dei corsi nel secondo ciclo del sistema d’istruzione e formazione, per assicurare ai giovani l’acquisizione di competenze spendibili nel mercato del lavoro; </w:t>
      </w:r>
    </w:p>
    <w:p w:rsidR="00000000" w:rsidDel="00000000" w:rsidP="00000000" w:rsidRDefault="00000000" w:rsidRPr="00000000" w14:paraId="00000020">
      <w:pPr>
        <w:numPr>
          <w:ilvl w:val="0"/>
          <w:numId w:val="2"/>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 sensi della legge 13 luglio 2015 n.107, art.1, commi 33-43, i PCTO sono organicamente inseriti nel piano triennale dell’offerta formativa dell’istituzione scolastica come parte integrante dei percorsi di istruzione; </w:t>
      </w:r>
    </w:p>
    <w:p w:rsidR="00000000" w:rsidDel="00000000" w:rsidP="00000000" w:rsidRDefault="00000000" w:rsidRPr="00000000" w14:paraId="00000021">
      <w:pPr>
        <w:numPr>
          <w:ilvl w:val="0"/>
          <w:numId w:val="2"/>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PCTO sono soggetti all’applicazione del D. Lgs. 9 aprile 2008, n .81 e successive modifiche; </w:t>
      </w:r>
    </w:p>
    <w:p w:rsidR="00000000" w:rsidDel="00000000" w:rsidP="00000000" w:rsidRDefault="00000000" w:rsidRPr="00000000" w14:paraId="00000022">
      <w:pPr>
        <w:spacing w:after="15" w:line="256" w:lineRule="auto"/>
        <w:ind w:left="10" w:right="105"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 conviene quanto segue: </w:t>
      </w:r>
      <w:r w:rsidDel="00000000" w:rsidR="00000000" w:rsidRPr="00000000">
        <w:rPr>
          <w:rtl w:val="0"/>
        </w:rPr>
      </w:r>
    </w:p>
    <w:p w:rsidR="00000000" w:rsidDel="00000000" w:rsidP="00000000" w:rsidRDefault="00000000" w:rsidRPr="00000000" w14:paraId="00000023">
      <w:pPr>
        <w:spacing w:after="16" w:line="256" w:lineRule="auto"/>
        <w:ind w:right="43"/>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spacing w:after="15" w:line="256" w:lineRule="auto"/>
        <w:ind w:left="10" w:right="108"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 </w:t>
      </w:r>
      <w:r w:rsidDel="00000000" w:rsidR="00000000" w:rsidRPr="00000000">
        <w:rPr>
          <w:rtl w:val="0"/>
        </w:rPr>
      </w:r>
    </w:p>
    <w:p w:rsidR="00000000" w:rsidDel="00000000" w:rsidP="00000000" w:rsidRDefault="00000000" w:rsidRPr="00000000" w14:paraId="00000025">
      <w:pPr>
        <w:spacing w:after="7" w:line="268" w:lineRule="auto"/>
        <w:ind w:left="96" w:right="191"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ssociazione Parlamento Europeo Giovani - APS, comitato nazionale italiano dello European Youth Parliament/Schwarzkopf-Stiftung, qui di seguito indicata anche come il “soggetto ospitante”, si </w:t>
      </w:r>
      <w:r w:rsidDel="00000000" w:rsidR="00000000" w:rsidRPr="00000000">
        <w:rPr>
          <w:rFonts w:ascii="Times New Roman" w:cs="Times New Roman" w:eastAsia="Times New Roman" w:hAnsi="Times New Roman"/>
          <w:sz w:val="24"/>
          <w:szCs w:val="24"/>
          <w:rtl w:val="0"/>
        </w:rPr>
        <w:t xml:space="preserve">impegna ad accogliere a titolo gratuito, fatto salvo il rimborso spese all’Associazione stessa per il soggiorno presso le strutture da essa accreditate, gli studenti delle classi terze, quarte e quinte dell’Istituzione scolastica in alternanza scuola-lavoro, facenti parte delle delegazioni iscritte e/o selezionate dall’Associazione PEG - APS per partecipare agli eventi sotto elencati: </w:t>
      </w:r>
    </w:p>
    <w:p w:rsidR="00000000" w:rsidDel="00000000" w:rsidP="00000000" w:rsidRDefault="00000000" w:rsidRPr="00000000" w14:paraId="00000026">
      <w:pPr>
        <w:numPr>
          <w:ilvl w:val="0"/>
          <w:numId w:val="10"/>
        </w:numPr>
        <w:spacing w:after="0" w:line="268" w:lineRule="auto"/>
        <w:ind w:left="806" w:right="19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Selezione Nazionale;</w:t>
      </w:r>
    </w:p>
    <w:p w:rsidR="00000000" w:rsidDel="00000000" w:rsidP="00000000" w:rsidRDefault="00000000" w:rsidRPr="00000000" w14:paraId="00000027">
      <w:pPr>
        <w:numPr>
          <w:ilvl w:val="0"/>
          <w:numId w:val="10"/>
        </w:numPr>
        <w:spacing w:after="0" w:line="268" w:lineRule="auto"/>
        <w:ind w:left="806" w:right="19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eventi locali, regionali o interregionali;</w:t>
      </w:r>
    </w:p>
    <w:p w:rsidR="00000000" w:rsidDel="00000000" w:rsidP="00000000" w:rsidRDefault="00000000" w:rsidRPr="00000000" w14:paraId="00000028">
      <w:pPr>
        <w:numPr>
          <w:ilvl w:val="0"/>
          <w:numId w:val="10"/>
        </w:numPr>
        <w:spacing w:after="0" w:line="268" w:lineRule="auto"/>
        <w:ind w:left="806" w:right="19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Forum e Sessioni Internazionali; </w:t>
      </w:r>
    </w:p>
    <w:p w:rsidR="00000000" w:rsidDel="00000000" w:rsidP="00000000" w:rsidRDefault="00000000" w:rsidRPr="00000000" w14:paraId="00000029">
      <w:pPr>
        <w:numPr>
          <w:ilvl w:val="0"/>
          <w:numId w:val="10"/>
        </w:numPr>
        <w:spacing w:after="0" w:line="268" w:lineRule="auto"/>
        <w:ind w:left="806" w:right="19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eventi di formazione.</w:t>
      </w:r>
    </w:p>
    <w:p w:rsidR="00000000" w:rsidDel="00000000" w:rsidP="00000000" w:rsidRDefault="00000000" w:rsidRPr="00000000" w14:paraId="0000002A">
      <w:pPr>
        <w:spacing w:after="16"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spacing w:after="15" w:line="256" w:lineRule="auto"/>
        <w:ind w:left="10" w:right="108"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 </w:t>
      </w:r>
      <w:r w:rsidDel="00000000" w:rsidR="00000000" w:rsidRPr="00000000">
        <w:rPr>
          <w:rtl w:val="0"/>
        </w:rPr>
      </w:r>
    </w:p>
    <w:p w:rsidR="00000000" w:rsidDel="00000000" w:rsidP="00000000" w:rsidRDefault="00000000" w:rsidRPr="00000000" w14:paraId="0000002C">
      <w:pPr>
        <w:numPr>
          <w:ilvl w:val="0"/>
          <w:numId w:val="7"/>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L’accoglimento degli studenti per i periodi di apprendimento in ambiente lavorativo non costituisce rapporto di lavoro. </w:t>
      </w:r>
    </w:p>
    <w:p w:rsidR="00000000" w:rsidDel="00000000" w:rsidP="00000000" w:rsidRDefault="00000000" w:rsidRPr="00000000" w14:paraId="0000002D">
      <w:pPr>
        <w:numPr>
          <w:ilvl w:val="0"/>
          <w:numId w:val="7"/>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 fini e agli effetti delle disposizioni di cui al D. Lgs. 81/2008, lo studente in PCTO è equiparato al lavoratore, ex art. 2, comma 1 lettera a) del decreto citato. </w:t>
      </w:r>
    </w:p>
    <w:p w:rsidR="00000000" w:rsidDel="00000000" w:rsidP="00000000" w:rsidRDefault="00000000" w:rsidRPr="00000000" w14:paraId="0000002E">
      <w:pPr>
        <w:numPr>
          <w:ilvl w:val="0"/>
          <w:numId w:val="7"/>
        </w:numPr>
        <w:spacing w:after="7" w:line="268" w:lineRule="auto"/>
        <w:ind w:left="96" w:right="191" w:hanging="10"/>
        <w:jc w:val="both"/>
        <w:rPr>
          <w:rFonts w:ascii="Times New Roman" w:cs="Times New Roman" w:eastAsia="Times New Roman" w:hAnsi="Times New Roman"/>
          <w:color w:val="000000"/>
          <w:sz w:val="24"/>
          <w:szCs w:val="24"/>
        </w:rPr>
      </w:pPr>
      <w:bookmarkStart w:colFirst="0" w:colLast="0" w:name="_heading=h.30j0zll" w:id="2"/>
      <w:bookmarkEnd w:id="2"/>
      <w:r w:rsidDel="00000000" w:rsidR="00000000" w:rsidRPr="00000000">
        <w:rPr>
          <w:rFonts w:ascii="Times New Roman" w:cs="Times New Roman" w:eastAsia="Times New Roman" w:hAnsi="Times New Roman"/>
          <w:color w:val="000000"/>
          <w:sz w:val="24"/>
          <w:szCs w:val="24"/>
          <w:rtl w:val="0"/>
        </w:rPr>
        <w:t xml:space="preserve">L’attività di formazione ed orientamento del percorso PCTO è congiuntamente progettata e verificata da un docente tutor interno, designato dall’istituzione scolastica, e da un tutor formativo della struttura, indicato dal soggetto ospitante, denominato tutor formativo esterno; </w:t>
      </w:r>
    </w:p>
    <w:p w:rsidR="00000000" w:rsidDel="00000000" w:rsidP="00000000" w:rsidRDefault="00000000" w:rsidRPr="00000000" w14:paraId="0000002F">
      <w:pPr>
        <w:numPr>
          <w:ilvl w:val="0"/>
          <w:numId w:val="7"/>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 ciascun allievo beneficiario del percorso in PCTO inserito nella struttura ospitante in base alla presente Convenzione è predisposto un percorso formativo personalizzato, che fa parte integrante della presente Convenzione, coerente con il profilo educativo, culturale e professionale dell’indirizzo di studi. </w:t>
      </w:r>
    </w:p>
    <w:p w:rsidR="00000000" w:rsidDel="00000000" w:rsidP="00000000" w:rsidRDefault="00000000" w:rsidRPr="00000000" w14:paraId="00000030">
      <w:pPr>
        <w:numPr>
          <w:ilvl w:val="0"/>
          <w:numId w:val="7"/>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titolarità del percorso, della progettazione formativa e della certificazione delle competenze acquisite è dell’istituzione scolastica. </w:t>
      </w:r>
    </w:p>
    <w:p w:rsidR="00000000" w:rsidDel="00000000" w:rsidP="00000000" w:rsidRDefault="00000000" w:rsidRPr="00000000" w14:paraId="00000031">
      <w:pPr>
        <w:numPr>
          <w:ilvl w:val="0"/>
          <w:numId w:val="7"/>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L’accoglimento degli studenti minorenni per i periodi di apprendimento in situazione lavorativa non fa acquisire agli stessi la qualifica di “lavoratore minore” di cui alla L. 977/67 e successive modifiche. </w:t>
      </w:r>
    </w:p>
    <w:p w:rsidR="00000000" w:rsidDel="00000000" w:rsidP="00000000" w:rsidRDefault="00000000" w:rsidRPr="00000000" w14:paraId="00000032">
      <w:pPr>
        <w:spacing w:after="24"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tabs>
          <w:tab w:val="left" w:leader="none" w:pos="5954"/>
        </w:tabs>
        <w:spacing w:after="29" w:line="268" w:lineRule="auto"/>
        <w:ind w:left="86" w:right="2267" w:firstLine="4488"/>
        <w:jc w:val="both"/>
        <w:rPr>
          <w:rFonts w:ascii="Times New Roman" w:cs="Times New Roman" w:eastAsia="Times New Roman" w:hAnsi="Times New Roman"/>
          <w:b w:val="1"/>
          <w:color w:val="1c3e7d"/>
          <w:sz w:val="24"/>
          <w:szCs w:val="24"/>
        </w:rPr>
      </w:pPr>
      <w:r w:rsidDel="00000000" w:rsidR="00000000" w:rsidRPr="00000000">
        <w:rPr>
          <w:rFonts w:ascii="Times New Roman" w:cs="Times New Roman" w:eastAsia="Times New Roman" w:hAnsi="Times New Roman"/>
          <w:b w:val="1"/>
          <w:sz w:val="24"/>
          <w:szCs w:val="24"/>
          <w:rtl w:val="0"/>
        </w:rPr>
        <w:t xml:space="preserve">Art. 3.</w:t>
      </w:r>
      <w:r w:rsidDel="00000000" w:rsidR="00000000" w:rsidRPr="00000000">
        <w:rPr>
          <w:rtl w:val="0"/>
        </w:rPr>
      </w:r>
    </w:p>
    <w:p w:rsidR="00000000" w:rsidDel="00000000" w:rsidP="00000000" w:rsidRDefault="00000000" w:rsidRPr="00000000" w14:paraId="00000034">
      <w:pPr>
        <w:tabs>
          <w:tab w:val="left" w:leader="none" w:pos="5954"/>
        </w:tabs>
        <w:spacing w:after="29" w:line="268" w:lineRule="auto"/>
        <w:ind w:left="86" w:right="2267" w:firstLine="5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Il docente tutor interno svolge le seguenti funzioni: </w:t>
      </w:r>
    </w:p>
    <w:p w:rsidR="00000000" w:rsidDel="00000000" w:rsidP="00000000" w:rsidRDefault="00000000" w:rsidRPr="00000000" w14:paraId="00000035">
      <w:pPr>
        <w:numPr>
          <w:ilvl w:val="1"/>
          <w:numId w:val="3"/>
        </w:numPr>
        <w:spacing w:after="29"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elabora, insieme al tutor esterno, il percorso formativo personalizzato, sottoscritto dalle parti coinvolte (scuola, struttura ospitante, studente/soggetti esercenti la potestà genitoriale); </w:t>
      </w:r>
    </w:p>
    <w:p w:rsidR="00000000" w:rsidDel="00000000" w:rsidP="00000000" w:rsidRDefault="00000000" w:rsidRPr="00000000" w14:paraId="00000036">
      <w:pPr>
        <w:numPr>
          <w:ilvl w:val="1"/>
          <w:numId w:val="3"/>
        </w:numPr>
        <w:spacing w:after="28"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assiste e guida lo studente nei percorsi di PCTO e ne verifica, in collaborazione con il tutor esterno, il corretto svolgimento; </w:t>
      </w:r>
    </w:p>
    <w:p w:rsidR="00000000" w:rsidDel="00000000" w:rsidP="00000000" w:rsidRDefault="00000000" w:rsidRPr="00000000" w14:paraId="00000037">
      <w:pPr>
        <w:numPr>
          <w:ilvl w:val="1"/>
          <w:numId w:val="3"/>
        </w:numPr>
        <w:spacing w:after="7"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gestisce le relazioni con il contesto in cui si sviluppa l’esperienza di PCTO, rapportandosi con il tutor esterno; </w:t>
      </w:r>
    </w:p>
    <w:p w:rsidR="00000000" w:rsidDel="00000000" w:rsidP="00000000" w:rsidRDefault="00000000" w:rsidRPr="00000000" w14:paraId="00000038">
      <w:pPr>
        <w:numPr>
          <w:ilvl w:val="1"/>
          <w:numId w:val="3"/>
        </w:numPr>
        <w:spacing w:after="31"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monitora le attività e affronta le eventuali criticità che dovessero emergere dalle stesse; </w:t>
      </w:r>
    </w:p>
    <w:p w:rsidR="00000000" w:rsidDel="00000000" w:rsidP="00000000" w:rsidRDefault="00000000" w:rsidRPr="00000000" w14:paraId="00000039">
      <w:pPr>
        <w:numPr>
          <w:ilvl w:val="1"/>
          <w:numId w:val="3"/>
        </w:numPr>
        <w:spacing w:after="31"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valuta, comunica e valorizza gli obiettivi raggiunti e le competenze progressivamente sviluppate dallo studente; </w:t>
      </w:r>
    </w:p>
    <w:p w:rsidR="00000000" w:rsidDel="00000000" w:rsidP="00000000" w:rsidRDefault="00000000" w:rsidRPr="00000000" w14:paraId="0000003A">
      <w:pPr>
        <w:numPr>
          <w:ilvl w:val="1"/>
          <w:numId w:val="3"/>
        </w:numPr>
        <w:spacing w:after="29"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promuove l’attività di valutazione sull’efficacia e la coerenza del percorso di alternanza, da parte dello studente coinvolto; </w:t>
      </w:r>
    </w:p>
    <w:p w:rsidR="00000000" w:rsidDel="00000000" w:rsidP="00000000" w:rsidRDefault="00000000" w:rsidRPr="00000000" w14:paraId="0000003B">
      <w:pPr>
        <w:numPr>
          <w:ilvl w:val="1"/>
          <w:numId w:val="3"/>
        </w:numPr>
        <w:spacing w:after="31"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 gli organi scolastici preposti (Dirigente Scolastico, Dipartimenti, Collegio dei docenti, Comitato Tecnico Scientifico/Comitato Scientifico) ed aggiorna il Consiglio di classe sullo svolgimento dei percorsi, anche ai fini dell’eventuale riallineamento della classe; </w:t>
      </w:r>
    </w:p>
    <w:p w:rsidR="00000000" w:rsidDel="00000000" w:rsidP="00000000" w:rsidRDefault="00000000" w:rsidRPr="00000000" w14:paraId="0000003C">
      <w:pPr>
        <w:numPr>
          <w:ilvl w:val="1"/>
          <w:numId w:val="3"/>
        </w:numPr>
        <w:spacing w:after="7" w:line="268"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assiste il Dirigente Scolastico nella redazione della scheda di valutazione sulle strutture con le quali sono state stipulate le convenzioni per le attività di alternanza, evidenziandone il potenziale formativo e le eventuali difficoltà incontrate nella collaborazione. </w:t>
      </w:r>
    </w:p>
    <w:p w:rsidR="00000000" w:rsidDel="00000000" w:rsidP="00000000" w:rsidRDefault="00000000" w:rsidRPr="00000000" w14:paraId="0000003D">
      <w:pPr>
        <w:spacing w:after="19"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numPr>
          <w:ilvl w:val="0"/>
          <w:numId w:val="5"/>
        </w:numPr>
        <w:spacing w:after="0" w:line="240" w:lineRule="auto"/>
        <w:ind w:left="328" w:right="191" w:hanging="2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tutor formativo esterno svolge le seguenti funzioni: </w:t>
      </w:r>
    </w:p>
    <w:p w:rsidR="00000000" w:rsidDel="00000000" w:rsidP="00000000" w:rsidRDefault="00000000" w:rsidRPr="00000000" w14:paraId="0000003F">
      <w:pPr>
        <w:spacing w:after="0" w:line="240"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numPr>
          <w:ilvl w:val="1"/>
          <w:numId w:val="5"/>
        </w:numPr>
        <w:spacing w:after="0" w:line="240"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 con il tutor interno alla progettazione, organizzazione e valutazione dell’esperienza di alternanza; </w:t>
      </w:r>
    </w:p>
    <w:p w:rsidR="00000000" w:rsidDel="00000000" w:rsidP="00000000" w:rsidRDefault="00000000" w:rsidRPr="00000000" w14:paraId="00000041">
      <w:pPr>
        <w:numPr>
          <w:ilvl w:val="1"/>
          <w:numId w:val="5"/>
        </w:numPr>
        <w:spacing w:after="0" w:line="240"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favorisce l’inserimento dello studente nel contesto operativo, lo affianca e lo assiste nel percorso; </w:t>
      </w:r>
    </w:p>
    <w:p w:rsidR="00000000" w:rsidDel="00000000" w:rsidP="00000000" w:rsidRDefault="00000000" w:rsidRPr="00000000" w14:paraId="00000042">
      <w:pPr>
        <w:numPr>
          <w:ilvl w:val="1"/>
          <w:numId w:val="5"/>
        </w:numPr>
        <w:spacing w:after="0" w:line="240"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garantisce l’informazione/formazione dello studente sui rischi specifici aziendali, nel rispetto delle procedure interne; </w:t>
      </w:r>
    </w:p>
    <w:p w:rsidR="00000000" w:rsidDel="00000000" w:rsidP="00000000" w:rsidRDefault="00000000" w:rsidRPr="00000000" w14:paraId="00000043">
      <w:pPr>
        <w:numPr>
          <w:ilvl w:val="1"/>
          <w:numId w:val="5"/>
        </w:numPr>
        <w:spacing w:after="0" w:line="240"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pianifica ed organizza le attività in base al progetto formativo, coordinandosi anche con altre figure professionali presenti nella struttura ospitante; </w:t>
      </w:r>
    </w:p>
    <w:p w:rsidR="00000000" w:rsidDel="00000000" w:rsidP="00000000" w:rsidRDefault="00000000" w:rsidRPr="00000000" w14:paraId="00000044">
      <w:pPr>
        <w:numPr>
          <w:ilvl w:val="1"/>
          <w:numId w:val="5"/>
        </w:numPr>
        <w:spacing w:after="0" w:line="240"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coinvolge lo studente nel processo di valutazione dell’esperienza; </w:t>
      </w:r>
    </w:p>
    <w:p w:rsidR="00000000" w:rsidDel="00000000" w:rsidP="00000000" w:rsidRDefault="00000000" w:rsidRPr="00000000" w14:paraId="00000045">
      <w:pPr>
        <w:numPr>
          <w:ilvl w:val="1"/>
          <w:numId w:val="5"/>
        </w:numPr>
        <w:spacing w:after="0" w:line="240" w:lineRule="auto"/>
        <w:ind w:left="886" w:right="19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fornisce all’istituzione scolastica gli elementi concordati per valutare le attività dello studente e l’efficacia del processo formativo. </w:t>
      </w:r>
    </w:p>
    <w:p w:rsidR="00000000" w:rsidDel="00000000" w:rsidP="00000000" w:rsidRDefault="00000000" w:rsidRPr="00000000" w14:paraId="00000046">
      <w:pPr>
        <w:spacing w:after="16"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numPr>
          <w:ilvl w:val="0"/>
          <w:numId w:val="5"/>
        </w:numPr>
        <w:spacing w:after="7" w:line="268" w:lineRule="auto"/>
        <w:ind w:left="328" w:right="191" w:hanging="2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 due figure dei tutor condividono i seguenti compiti: </w:t>
      </w:r>
    </w:p>
    <w:p w:rsidR="00000000" w:rsidDel="00000000" w:rsidP="00000000" w:rsidRDefault="00000000" w:rsidRPr="00000000" w14:paraId="00000048">
      <w:pPr>
        <w:numPr>
          <w:ilvl w:val="0"/>
          <w:numId w:val="11"/>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 </w:t>
      </w:r>
    </w:p>
    <w:p w:rsidR="00000000" w:rsidDel="00000000" w:rsidP="00000000" w:rsidRDefault="00000000" w:rsidRPr="00000000" w14:paraId="00000049">
      <w:pPr>
        <w:numPr>
          <w:ilvl w:val="0"/>
          <w:numId w:val="11"/>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controllo della frequenza e dell’attuazione del percorso formativo personalizzato; </w:t>
      </w:r>
    </w:p>
    <w:p w:rsidR="00000000" w:rsidDel="00000000" w:rsidP="00000000" w:rsidRDefault="00000000" w:rsidRPr="00000000" w14:paraId="0000004A">
      <w:pPr>
        <w:numPr>
          <w:ilvl w:val="0"/>
          <w:numId w:val="11"/>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raccordo tra le esperienze formative in aula e quella in contesto lavorativo; </w:t>
      </w:r>
    </w:p>
    <w:p w:rsidR="00000000" w:rsidDel="00000000" w:rsidP="00000000" w:rsidRDefault="00000000" w:rsidRPr="00000000" w14:paraId="0000004B">
      <w:pPr>
        <w:numPr>
          <w:ilvl w:val="0"/>
          <w:numId w:val="11"/>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elaborazione di un report sull’esperienza svolta e sulle acquisizioni di ciascun allievo, che concorre alla valutazione e alla certificazione delle competenze da parte del Consiglio di classe; </w:t>
      </w:r>
    </w:p>
    <w:p w:rsidR="00000000" w:rsidDel="00000000" w:rsidP="00000000" w:rsidRDefault="00000000" w:rsidRPr="00000000" w14:paraId="0000004C">
      <w:pPr>
        <w:numPr>
          <w:ilvl w:val="0"/>
          <w:numId w:val="11"/>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verifica del rispetto da parte dello studente degli obblighi propri di ciascun lavoratore di cui all’art. 20 D. Lgs. 81/2008. In particolare la violazione da parte dello studente degli obblighi richiamati dalla norma citata e dal percorso formativo saranno segnalati dal tutor formativo esterno al docente tutor interno affinché quest’ultimo possa attivare le azioni necessarie. </w:t>
      </w:r>
    </w:p>
    <w:p w:rsidR="00000000" w:rsidDel="00000000" w:rsidP="00000000" w:rsidRDefault="00000000" w:rsidRPr="00000000" w14:paraId="0000004D">
      <w:pPr>
        <w:spacing w:after="19"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after="15" w:line="256" w:lineRule="auto"/>
        <w:ind w:left="10" w:right="10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 </w:t>
      </w:r>
      <w:r w:rsidDel="00000000" w:rsidR="00000000" w:rsidRPr="00000000">
        <w:rPr>
          <w:rtl w:val="0"/>
        </w:rPr>
      </w:r>
    </w:p>
    <w:p w:rsidR="00000000" w:rsidDel="00000000" w:rsidP="00000000" w:rsidRDefault="00000000" w:rsidRPr="00000000" w14:paraId="0000004F">
      <w:p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Durante lo svolgimento del percorso in alternanza scuola lavoro i beneficiari del percorso sono tenuti a: </w:t>
      </w:r>
    </w:p>
    <w:p w:rsidR="00000000" w:rsidDel="00000000" w:rsidP="00000000" w:rsidRDefault="00000000" w:rsidRPr="00000000" w14:paraId="00000050">
      <w:pPr>
        <w:numPr>
          <w:ilvl w:val="0"/>
          <w:numId w:val="8"/>
        </w:numPr>
        <w:spacing w:after="7" w:line="268" w:lineRule="auto"/>
        <w:ind w:left="331" w:right="191" w:hanging="24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svolgere le attività previste dal percorso formativo personalizzato; </w:t>
      </w:r>
    </w:p>
    <w:p w:rsidR="00000000" w:rsidDel="00000000" w:rsidP="00000000" w:rsidRDefault="00000000" w:rsidRPr="00000000" w14:paraId="00000051">
      <w:pPr>
        <w:numPr>
          <w:ilvl w:val="0"/>
          <w:numId w:val="8"/>
        </w:numPr>
        <w:spacing w:after="7" w:line="268" w:lineRule="auto"/>
        <w:ind w:left="331" w:right="191" w:hanging="24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rispettare le norme in materia di igiene, sicurezza e salute sui luoghi di lavoro, nonché tutte le disposizioni, istruzioni, prescrizioni, regolamenti interni, previsti a tale scopo; </w:t>
      </w:r>
    </w:p>
    <w:p w:rsidR="00000000" w:rsidDel="00000000" w:rsidP="00000000" w:rsidRDefault="00000000" w:rsidRPr="00000000" w14:paraId="00000052">
      <w:pPr>
        <w:numPr>
          <w:ilvl w:val="0"/>
          <w:numId w:val="8"/>
        </w:numPr>
        <w:spacing w:after="7" w:line="268" w:lineRule="auto"/>
        <w:ind w:left="331" w:right="191" w:hanging="24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mantenere la necessaria riservatezza per quanto attiene ai dati, informazioni o conoscenze in merito a processi produttivi e prodotti, acquisiti durante lo svolgimento dell’attività formativa in contesto lavorativo; </w:t>
      </w:r>
    </w:p>
    <w:p w:rsidR="00000000" w:rsidDel="00000000" w:rsidP="00000000" w:rsidRDefault="00000000" w:rsidRPr="00000000" w14:paraId="00000053">
      <w:pPr>
        <w:numPr>
          <w:ilvl w:val="0"/>
          <w:numId w:val="8"/>
        </w:numPr>
        <w:spacing w:after="7" w:line="268" w:lineRule="auto"/>
        <w:ind w:left="331" w:right="191" w:hanging="24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seguire le indicazioni dei tutor e fare riferimento ad essi per qualsiasi esigenza di tipo </w:t>
      </w:r>
      <w:r w:rsidDel="00000000" w:rsidR="00000000" w:rsidRPr="00000000">
        <w:rPr>
          <w:rFonts w:ascii="Times New Roman" w:cs="Times New Roman" w:eastAsia="Times New Roman" w:hAnsi="Times New Roman"/>
          <w:sz w:val="24"/>
          <w:szCs w:val="24"/>
          <w:rtl w:val="0"/>
        </w:rPr>
        <w:t xml:space="preserve">organizzativo</w:t>
      </w:r>
      <w:r w:rsidDel="00000000" w:rsidR="00000000" w:rsidRPr="00000000">
        <w:rPr>
          <w:rFonts w:ascii="Times New Roman" w:cs="Times New Roman" w:eastAsia="Times New Roman" w:hAnsi="Times New Roman"/>
          <w:color w:val="000000"/>
          <w:sz w:val="24"/>
          <w:szCs w:val="24"/>
          <w:rtl w:val="0"/>
        </w:rPr>
        <w:t xml:space="preserve"> o altre evenienze; </w:t>
      </w:r>
    </w:p>
    <w:p w:rsidR="00000000" w:rsidDel="00000000" w:rsidP="00000000" w:rsidRDefault="00000000" w:rsidRPr="00000000" w14:paraId="00000054">
      <w:pPr>
        <w:numPr>
          <w:ilvl w:val="0"/>
          <w:numId w:val="8"/>
        </w:numPr>
        <w:spacing w:after="7" w:line="268" w:lineRule="auto"/>
        <w:ind w:left="331" w:right="191" w:hanging="24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rispettare gli obblighi di cui al D.Lgs. 81/2008, art. 20. </w:t>
      </w:r>
    </w:p>
    <w:p w:rsidR="00000000" w:rsidDel="00000000" w:rsidP="00000000" w:rsidRDefault="00000000" w:rsidRPr="00000000" w14:paraId="00000055">
      <w:pPr>
        <w:spacing w:after="16"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after="15" w:line="256" w:lineRule="auto"/>
        <w:ind w:left="10" w:right="10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 </w:t>
      </w:r>
      <w:r w:rsidDel="00000000" w:rsidR="00000000" w:rsidRPr="00000000">
        <w:rPr>
          <w:rtl w:val="0"/>
        </w:rPr>
      </w:r>
    </w:p>
    <w:p w:rsidR="00000000" w:rsidDel="00000000" w:rsidP="00000000" w:rsidRDefault="00000000" w:rsidRPr="00000000" w14:paraId="00000057">
      <w:pPr>
        <w:numPr>
          <w:ilvl w:val="0"/>
          <w:numId w:val="4"/>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L’istituzione scolastica assicura i beneficiari del percorso in alternanza scuola lavoro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 </w:t>
      </w:r>
    </w:p>
    <w:p w:rsidR="00000000" w:rsidDel="00000000" w:rsidP="00000000" w:rsidRDefault="00000000" w:rsidRPr="00000000" w14:paraId="00000058">
      <w:pPr>
        <w:numPr>
          <w:ilvl w:val="0"/>
          <w:numId w:val="4"/>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 fini dell’applicazione dell’articolo 18 del D. Lgs. 81/2008 il soggetto promotore si fa carico dei seguenti obblighi: </w:t>
      </w:r>
    </w:p>
    <w:p w:rsidR="00000000" w:rsidDel="00000000" w:rsidP="00000000" w:rsidRDefault="00000000" w:rsidRPr="00000000" w14:paraId="00000059">
      <w:pPr>
        <w:numPr>
          <w:ilvl w:val="0"/>
          <w:numId w:val="1"/>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tener conto delle capacità e delle condizioni della struttura ospitante, in rapporto alla salute e sicurezza degli studenti impegnati nelle attività di alternanza; </w:t>
      </w:r>
    </w:p>
    <w:p w:rsidR="00000000" w:rsidDel="00000000" w:rsidP="00000000" w:rsidRDefault="00000000" w:rsidRPr="00000000" w14:paraId="0000005A">
      <w:pPr>
        <w:numPr>
          <w:ilvl w:val="0"/>
          <w:numId w:val="1"/>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informare/formare lo studente in materia di norme relative a igiene, sicurezza e salute sui luoghi di lavoro, con particolare riguardo agli obblighi dello studente ex art. 20 D. Lgs. 81/2008; </w:t>
      </w:r>
    </w:p>
    <w:p w:rsidR="00000000" w:rsidDel="00000000" w:rsidP="00000000" w:rsidRDefault="00000000" w:rsidRPr="00000000" w14:paraId="0000005B">
      <w:pPr>
        <w:numPr>
          <w:ilvl w:val="0"/>
          <w:numId w:val="1"/>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designare un tutor interno che sia competente e adeguatamente formato in materia di sicurezza e salute nei luoghi di lavoro o che si avvalga di professionalità adeguate in materia (es. RSPP); </w:t>
      </w:r>
    </w:p>
    <w:p w:rsidR="00000000" w:rsidDel="00000000" w:rsidP="00000000" w:rsidRDefault="00000000" w:rsidRPr="00000000" w14:paraId="0000005C">
      <w:pPr>
        <w:spacing w:after="16"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D">
      <w:pPr>
        <w:spacing w:after="15" w:line="256" w:lineRule="auto"/>
        <w:ind w:left="10" w:right="10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 </w:t>
      </w:r>
      <w:r w:rsidDel="00000000" w:rsidR="00000000" w:rsidRPr="00000000">
        <w:rPr>
          <w:rtl w:val="0"/>
        </w:rPr>
      </w:r>
    </w:p>
    <w:p w:rsidR="00000000" w:rsidDel="00000000" w:rsidP="00000000" w:rsidRDefault="00000000" w:rsidRPr="00000000" w14:paraId="0000005E">
      <w:p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Il soggetto ospitante si impegna a: </w:t>
      </w:r>
    </w:p>
    <w:p w:rsidR="00000000" w:rsidDel="00000000" w:rsidP="00000000" w:rsidRDefault="00000000" w:rsidRPr="00000000" w14:paraId="0000005F">
      <w:pPr>
        <w:numPr>
          <w:ilvl w:val="0"/>
          <w:numId w:val="9"/>
        </w:numPr>
        <w:spacing w:after="7" w:line="268" w:lineRule="auto"/>
        <w:ind w:left="345" w:right="191" w:hanging="259"/>
        <w:jc w:val="both"/>
        <w:rPr>
          <w:rFonts w:ascii="Times New Roman" w:cs="Times New Roman" w:eastAsia="Times New Roman" w:hAnsi="Times New Roman"/>
          <w:color w:val="000000"/>
          <w:sz w:val="24"/>
          <w:szCs w:val="24"/>
        </w:rPr>
      </w:pPr>
      <w:bookmarkStart w:colFirst="0" w:colLast="0" w:name="_heading=h.1fob9te" w:id="3"/>
      <w:bookmarkEnd w:id="3"/>
      <w:r w:rsidDel="00000000" w:rsidR="00000000" w:rsidRPr="00000000">
        <w:rPr>
          <w:rFonts w:ascii="Times New Roman" w:cs="Times New Roman" w:eastAsia="Times New Roman" w:hAnsi="Times New Roman"/>
          <w:color w:val="000000"/>
          <w:sz w:val="24"/>
          <w:szCs w:val="24"/>
          <w:rtl w:val="0"/>
        </w:rPr>
        <w:t xml:space="preserve">garantire ai beneficiari del percorso, per il tramite del tutor della struttura ospitante, l’assistenza e la formazione necessarie al buon esito dell’attività di alternanza, nonché la dichiarazione delle competenze acquisite nel contesto di lavoro; </w:t>
      </w:r>
    </w:p>
    <w:p w:rsidR="00000000" w:rsidDel="00000000" w:rsidP="00000000" w:rsidRDefault="00000000" w:rsidRPr="00000000" w14:paraId="00000060">
      <w:pPr>
        <w:numPr>
          <w:ilvl w:val="0"/>
          <w:numId w:val="9"/>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rispettare le norme antinfortunistiche e di igiene sul lavoro; </w:t>
      </w:r>
    </w:p>
    <w:p w:rsidR="00000000" w:rsidDel="00000000" w:rsidP="00000000" w:rsidRDefault="00000000" w:rsidRPr="00000000" w14:paraId="00000061">
      <w:pPr>
        <w:numPr>
          <w:ilvl w:val="0"/>
          <w:numId w:val="9"/>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consentire al tutor del soggetto promotore di contattare i beneficiari del percorso e il tutor della struttura ospitante per verificare l’andamento della formazione in contesto lavorativo, per coordinare l’intero percorso formativo e per la stesura della relazione finale; </w:t>
      </w:r>
    </w:p>
    <w:p w:rsidR="00000000" w:rsidDel="00000000" w:rsidP="00000000" w:rsidRDefault="00000000" w:rsidRPr="00000000" w14:paraId="00000062">
      <w:pPr>
        <w:numPr>
          <w:ilvl w:val="0"/>
          <w:numId w:val="9"/>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informare il soggetto promotore di qualsiasi incidente accada ai beneficiari; </w:t>
      </w:r>
    </w:p>
    <w:p w:rsidR="00000000" w:rsidDel="00000000" w:rsidP="00000000" w:rsidRDefault="00000000" w:rsidRPr="00000000" w14:paraId="00000063">
      <w:pPr>
        <w:numPr>
          <w:ilvl w:val="0"/>
          <w:numId w:val="9"/>
        </w:numPr>
        <w:spacing w:after="7" w:line="268" w:lineRule="auto"/>
        <w:ind w:left="345" w:right="191" w:hanging="2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individuare il tutor esterno in un soggetto che sia competente e adeguatamente formato in materia di sicurezza e salute nei luoghi di lavoro o che si avvalga di professionalità adeguate in materia (es. RSPP). </w:t>
      </w:r>
    </w:p>
    <w:p w:rsidR="00000000" w:rsidDel="00000000" w:rsidP="00000000" w:rsidRDefault="00000000" w:rsidRPr="00000000" w14:paraId="00000064">
      <w:pPr>
        <w:spacing w:after="16" w:line="256" w:lineRule="auto"/>
        <w:ind w:left="9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5">
      <w:pPr>
        <w:spacing w:after="15" w:line="256" w:lineRule="auto"/>
        <w:ind w:left="10" w:right="10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 </w:t>
      </w:r>
      <w:r w:rsidDel="00000000" w:rsidR="00000000" w:rsidRPr="00000000">
        <w:rPr>
          <w:rtl w:val="0"/>
        </w:rPr>
      </w:r>
    </w:p>
    <w:p w:rsidR="00000000" w:rsidDel="00000000" w:rsidP="00000000" w:rsidRDefault="00000000" w:rsidRPr="00000000" w14:paraId="00000066">
      <w:pPr>
        <w:numPr>
          <w:ilvl w:val="0"/>
          <w:numId w:val="6"/>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presente convenzione decorre dalla data sotto indicata e dura fino all’espletamento dell’esperienza definita da ciascun percorso formativo personalizzato presso il soggetto ospitante. </w:t>
      </w:r>
    </w:p>
    <w:p w:rsidR="00000000" w:rsidDel="00000000" w:rsidP="00000000" w:rsidRDefault="00000000" w:rsidRPr="00000000" w14:paraId="00000067">
      <w:pPr>
        <w:numPr>
          <w:ilvl w:val="0"/>
          <w:numId w:val="6"/>
        </w:numPr>
        <w:spacing w:after="7" w:line="268" w:lineRule="auto"/>
        <w:ind w:left="96" w:right="191" w:hanging="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È in ogni caso riconosciuta facoltà al soggetto ospitante e al soggetto promotore di risolvere la presente convenzione in caso di violazione degli obblighi in materia di salute e sicurezza nei luoghi di lavoro o del piano formativo personalizzato.</w:t>
      </w:r>
      <w:r w:rsidDel="00000000" w:rsidR="00000000" w:rsidRPr="00000000">
        <w:rPr>
          <w:rtl w:val="0"/>
        </w:rPr>
      </w:r>
    </w:p>
    <w:p w:rsidR="00000000" w:rsidDel="00000000" w:rsidP="00000000" w:rsidRDefault="00000000" w:rsidRPr="00000000" w14:paraId="00000068">
      <w:pPr>
        <w:spacing w:after="7" w:line="268" w:lineRule="auto"/>
        <w:ind w:left="0" w:right="191" w:firstLine="0"/>
        <w:jc w:val="both"/>
        <w:rPr>
          <w:rFonts w:ascii="Times New Roman" w:cs="Times New Roman" w:eastAsia="Times New Roman" w:hAnsi="Times New Roman"/>
          <w:sz w:val="24"/>
          <w:szCs w:val="24"/>
        </w:rPr>
        <w:sectPr>
          <w:pgSz w:h="16838" w:w="11906" w:orient="portrait"/>
          <w:pgMar w:bottom="1134" w:top="1417" w:left="1134" w:right="1134" w:header="708" w:footer="708"/>
          <w:pgNumType w:start="1"/>
        </w:sectPr>
      </w:pPr>
      <w:r w:rsidDel="00000000" w:rsidR="00000000" w:rsidRPr="00000000">
        <w:rPr>
          <w:rtl w:val="0"/>
        </w:rPr>
      </w:r>
    </w:p>
    <w:p w:rsidR="00000000" w:rsidDel="00000000" w:rsidP="00000000" w:rsidRDefault="00000000" w:rsidRPr="00000000" w14:paraId="00000069">
      <w:pPr>
        <w:spacing w:after="7" w:line="268" w:lineRule="auto"/>
        <w:ind w:right="191"/>
        <w:jc w:val="center"/>
        <w:rPr>
          <w:rFonts w:ascii="Times New Roman" w:cs="Times New Roman" w:eastAsia="Times New Roman" w:hAnsi="Times New Roman"/>
          <w:b w:val="1"/>
          <w:color w:val="000000"/>
          <w:sz w:val="24"/>
          <w:szCs w:val="24"/>
          <w:highlight w:val="yellow"/>
        </w:rPr>
      </w:pPr>
      <w:r w:rsidDel="00000000" w:rsidR="00000000" w:rsidRPr="00000000">
        <w:rPr>
          <w:rFonts w:ascii="Times New Roman" w:cs="Times New Roman" w:eastAsia="Times New Roman" w:hAnsi="Times New Roman"/>
          <w:b w:val="1"/>
          <w:color w:val="000000"/>
          <w:sz w:val="24"/>
          <w:szCs w:val="24"/>
          <w:highlight w:val="yellow"/>
          <w:rtl w:val="0"/>
        </w:rPr>
        <w:t xml:space="preserve">Luogo e data firma</w:t>
      </w:r>
    </w:p>
    <w:p w:rsidR="00000000" w:rsidDel="00000000" w:rsidP="00000000" w:rsidRDefault="00000000" w:rsidRPr="00000000" w14:paraId="0000006A">
      <w:pPr>
        <w:spacing w:after="7" w:line="268" w:lineRule="auto"/>
        <w:jc w:val="center"/>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b w:val="1"/>
          <w:color w:val="000000"/>
          <w:sz w:val="24"/>
          <w:szCs w:val="24"/>
          <w:highlight w:val="yellow"/>
          <w:rtl w:val="0"/>
        </w:rPr>
        <w:t xml:space="preserve">Istituto</w:t>
      </w:r>
      <w:r w:rsidDel="00000000" w:rsidR="00000000" w:rsidRPr="00000000">
        <w:rPr>
          <w:rtl w:val="0"/>
        </w:rPr>
      </w:r>
    </w:p>
    <w:p w:rsidR="00000000" w:rsidDel="00000000" w:rsidP="00000000" w:rsidRDefault="00000000" w:rsidRPr="00000000" w14:paraId="0000006B">
      <w:pPr>
        <w:spacing w:after="7" w:line="268" w:lineRule="auto"/>
        <w:ind w:right="191"/>
        <w:jc w:val="center"/>
        <w:rPr>
          <w:rFonts w:ascii="Times New Roman" w:cs="Times New Roman" w:eastAsia="Times New Roman" w:hAnsi="Times New Roman"/>
          <w:b w:val="1"/>
          <w:color w:val="000000"/>
          <w:sz w:val="24"/>
          <w:szCs w:val="24"/>
          <w:highlight w:val="yellow"/>
        </w:rPr>
      </w:pPr>
      <w:r w:rsidDel="00000000" w:rsidR="00000000" w:rsidRPr="00000000">
        <w:rPr>
          <w:rFonts w:ascii="Times New Roman" w:cs="Times New Roman" w:eastAsia="Times New Roman" w:hAnsi="Times New Roman"/>
          <w:b w:val="1"/>
          <w:color w:val="000000"/>
          <w:sz w:val="24"/>
          <w:szCs w:val="24"/>
          <w:highlight w:val="yellow"/>
          <w:rtl w:val="0"/>
        </w:rPr>
        <w:t xml:space="preserve">Nome dirigente scolastico</w:t>
      </w:r>
    </w:p>
    <w:p w:rsidR="00000000" w:rsidDel="00000000" w:rsidP="00000000" w:rsidRDefault="00000000" w:rsidRPr="00000000" w14:paraId="0000006C">
      <w:pPr>
        <w:spacing w:after="7" w:line="268"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Parlamento Europeo Giovani - APS</w:t>
      </w:r>
    </w:p>
    <w:p w:rsidR="00000000" w:rsidDel="00000000" w:rsidP="00000000" w:rsidRDefault="00000000" w:rsidRPr="00000000" w14:paraId="0000006D">
      <w:pPr>
        <w:spacing w:after="7" w:line="268" w:lineRule="auto"/>
        <w:jc w:val="center"/>
        <w:rPr>
          <w:rFonts w:ascii="Times New Roman" w:cs="Times New Roman" w:eastAsia="Times New Roman" w:hAnsi="Times New Roman"/>
          <w:color w:val="000000"/>
          <w:sz w:val="24"/>
          <w:szCs w:val="24"/>
        </w:rPr>
        <w:sectPr>
          <w:type w:val="continuous"/>
          <w:pgSz w:h="16838" w:w="11906" w:orient="portrait"/>
          <w:pgMar w:bottom="1134" w:top="1417" w:left="1134" w:right="1134" w:header="708" w:footer="708"/>
          <w:cols w:equalWidth="0" w:num="2">
            <w:col w:space="708" w:w="4464.999999999999"/>
            <w:col w:space="0" w:w="4464.999999999999"/>
          </w:cols>
        </w:sectPr>
      </w:pPr>
      <w:r w:rsidDel="00000000" w:rsidR="00000000" w:rsidRPr="00000000">
        <w:rPr>
          <w:rFonts w:ascii="Times New Roman" w:cs="Times New Roman" w:eastAsia="Times New Roman" w:hAnsi="Times New Roman"/>
          <w:sz w:val="24"/>
          <w:szCs w:val="24"/>
          <w:rtl w:val="0"/>
        </w:rPr>
        <w:t xml:space="preserve">Federico Pisani</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type w:val="continuous"/>
      <w:pgSz w:h="16838" w:w="11906" w:orient="portrait"/>
      <w:pgMar w:bottom="1134" w:top="1417"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6" w:firstLine="0"/>
      </w:pPr>
      <w:rPr>
        <w:rFonts w:ascii="Times New Roman" w:cs="Times New Roman" w:eastAsia="Times New Roman" w:hAnsi="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2">
    <w:lvl w:ilvl="0">
      <w:start w:val="1"/>
      <w:numFmt w:val="bullet"/>
      <w:lvlText w:val="-"/>
      <w:lvlJc w:val="left"/>
      <w:pPr>
        <w:ind w:left="96" w:firstLine="0"/>
      </w:pPr>
      <w:rPr>
        <w:rFonts w:ascii="Times New Roman" w:cs="Times New Roman" w:eastAsia="Times New Roman" w:hAnsi="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3">
    <w:lvl w:ilvl="0">
      <w:start w:val="1"/>
      <w:numFmt w:val="decimal"/>
      <w:lvlText w:val="%1."/>
      <w:lvlJc w:val="left"/>
      <w:pPr>
        <w:ind w:left="96"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886" w:firstLine="0"/>
      </w:pPr>
      <w:rPr>
        <w:b w:val="0"/>
        <w:i w:val="0"/>
        <w:strike w:val="0"/>
        <w:color w:val="000000"/>
        <w:sz w:val="24"/>
        <w:szCs w:val="24"/>
        <w:u w:val="none"/>
        <w:vertAlign w:val="baseline"/>
      </w:rPr>
    </w:lvl>
    <w:lvl w:ilvl="2">
      <w:start w:val="1"/>
      <w:numFmt w:val="lowerRoman"/>
      <w:lvlText w:val="%3"/>
      <w:lvlJc w:val="left"/>
      <w:pPr>
        <w:ind w:left="1507"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227"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2947"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667"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387"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107"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5827" w:firstLine="0"/>
      </w:pPr>
      <w:rPr>
        <w:rFonts w:ascii="Times New Roman" w:cs="Times New Roman" w:eastAsia="Times New Roman" w:hAnsi="Times New Roman"/>
        <w:b w:val="0"/>
        <w:i w:val="0"/>
        <w:strike w:val="0"/>
        <w:color w:val="000000"/>
        <w:sz w:val="24"/>
        <w:szCs w:val="24"/>
        <w:u w:val="none"/>
        <w:vertAlign w:val="baseline"/>
      </w:rPr>
    </w:lvl>
  </w:abstractNum>
  <w:abstractNum w:abstractNumId="4">
    <w:lvl w:ilvl="0">
      <w:start w:val="1"/>
      <w:numFmt w:val="decimal"/>
      <w:lvlText w:val="%1."/>
      <w:lvlJc w:val="left"/>
      <w:pPr>
        <w:ind w:left="96"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5">
    <w:lvl w:ilvl="0">
      <w:start w:val="2"/>
      <w:numFmt w:val="decimal"/>
      <w:lvlText w:val="%1."/>
      <w:lvlJc w:val="left"/>
      <w:pPr>
        <w:ind w:left="328"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886"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507"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227"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2947"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667"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387"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107"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5827" w:firstLine="0"/>
      </w:pPr>
      <w:rPr>
        <w:rFonts w:ascii="Times New Roman" w:cs="Times New Roman" w:eastAsia="Times New Roman" w:hAnsi="Times New Roman"/>
        <w:b w:val="0"/>
        <w:i w:val="0"/>
        <w:strike w:val="0"/>
        <w:color w:val="000000"/>
        <w:sz w:val="24"/>
        <w:szCs w:val="24"/>
        <w:u w:val="none"/>
        <w:vertAlign w:val="baseline"/>
      </w:rPr>
    </w:lvl>
  </w:abstractNum>
  <w:abstractNum w:abstractNumId="6">
    <w:lvl w:ilvl="0">
      <w:start w:val="1"/>
      <w:numFmt w:val="decimal"/>
      <w:lvlText w:val="%1."/>
      <w:lvlJc w:val="left"/>
      <w:pPr>
        <w:ind w:left="96"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7">
    <w:lvl w:ilvl="0">
      <w:start w:val="1"/>
      <w:numFmt w:val="decimal"/>
      <w:lvlText w:val="%1."/>
      <w:lvlJc w:val="left"/>
      <w:pPr>
        <w:ind w:left="96" w:firstLine="0"/>
      </w:pPr>
      <w:rPr>
        <w:rFonts w:ascii="Times New Roman" w:cs="Times New Roman" w:eastAsia="Times New Roman" w:hAnsi="Times New Roman"/>
        <w:b w:val="0"/>
        <w:i w:val="0"/>
        <w:strike w:val="0"/>
        <w:color w:val="000000"/>
        <w:sz w:val="24"/>
        <w:szCs w:val="24"/>
        <w:u w:val="none"/>
        <w:vertAlign w:val="baseline"/>
      </w:rPr>
    </w:lvl>
    <w:lvl w:ilvl="1">
      <w:start w:val="3"/>
      <w:numFmt w:val="lowerLetter"/>
      <w:lvlText w:val="%2)"/>
      <w:lvlJc w:val="left"/>
      <w:pPr>
        <w:ind w:left="886"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507"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227"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2947"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667"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387"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107"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5827" w:firstLine="0"/>
      </w:pPr>
      <w:rPr>
        <w:rFonts w:ascii="Times New Roman" w:cs="Times New Roman" w:eastAsia="Times New Roman" w:hAnsi="Times New Roman"/>
        <w:b w:val="0"/>
        <w:i w:val="0"/>
        <w:strike w:val="0"/>
        <w:color w:val="000000"/>
        <w:sz w:val="24"/>
        <w:szCs w:val="24"/>
        <w:u w:val="none"/>
        <w:vertAlign w:val="baseline"/>
      </w:rPr>
    </w:lvl>
  </w:abstractNum>
  <w:abstractNum w:abstractNumId="8">
    <w:lvl w:ilvl="0">
      <w:start w:val="1"/>
      <w:numFmt w:val="lowerLetter"/>
      <w:lvlText w:val="%1)"/>
      <w:lvlJc w:val="left"/>
      <w:pPr>
        <w:ind w:left="331"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9">
    <w:lvl w:ilvl="0">
      <w:start w:val="1"/>
      <w:numFmt w:val="lowerLetter"/>
      <w:lvlText w:val="%1)"/>
      <w:lvlJc w:val="left"/>
      <w:pPr>
        <w:ind w:left="345"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10">
    <w:lvl w:ilvl="0">
      <w:start w:val="1"/>
      <w:numFmt w:val="decimal"/>
      <w:lvlText w:val="%1."/>
      <w:lvlJc w:val="left"/>
      <w:pPr>
        <w:ind w:left="806" w:hanging="360.00000000000034"/>
      </w:pPr>
      <w:rPr/>
    </w:lvl>
    <w:lvl w:ilvl="1">
      <w:start w:val="1"/>
      <w:numFmt w:val="lowerLetter"/>
      <w:lvlText w:val="%2."/>
      <w:lvlJc w:val="left"/>
      <w:pPr>
        <w:ind w:left="1526" w:hanging="360"/>
      </w:pPr>
      <w:rPr/>
    </w:lvl>
    <w:lvl w:ilvl="2">
      <w:start w:val="1"/>
      <w:numFmt w:val="lowerRoman"/>
      <w:lvlText w:val="%3."/>
      <w:lvlJc w:val="right"/>
      <w:pPr>
        <w:ind w:left="2246" w:hanging="180"/>
      </w:pPr>
      <w:rPr/>
    </w:lvl>
    <w:lvl w:ilvl="3">
      <w:start w:val="1"/>
      <w:numFmt w:val="decimal"/>
      <w:lvlText w:val="%4."/>
      <w:lvlJc w:val="left"/>
      <w:pPr>
        <w:ind w:left="2966" w:hanging="360"/>
      </w:pPr>
      <w:rPr/>
    </w:lvl>
    <w:lvl w:ilvl="4">
      <w:start w:val="1"/>
      <w:numFmt w:val="lowerLetter"/>
      <w:lvlText w:val="%5."/>
      <w:lvlJc w:val="left"/>
      <w:pPr>
        <w:ind w:left="3686" w:hanging="360"/>
      </w:pPr>
      <w:rPr/>
    </w:lvl>
    <w:lvl w:ilvl="5">
      <w:start w:val="1"/>
      <w:numFmt w:val="lowerRoman"/>
      <w:lvlText w:val="%6."/>
      <w:lvlJc w:val="right"/>
      <w:pPr>
        <w:ind w:left="4406" w:hanging="180"/>
      </w:pPr>
      <w:rPr/>
    </w:lvl>
    <w:lvl w:ilvl="6">
      <w:start w:val="1"/>
      <w:numFmt w:val="decimal"/>
      <w:lvlText w:val="%7."/>
      <w:lvlJc w:val="left"/>
      <w:pPr>
        <w:ind w:left="5126" w:hanging="360"/>
      </w:pPr>
      <w:rPr/>
    </w:lvl>
    <w:lvl w:ilvl="7">
      <w:start w:val="1"/>
      <w:numFmt w:val="lowerLetter"/>
      <w:lvlText w:val="%8."/>
      <w:lvlJc w:val="left"/>
      <w:pPr>
        <w:ind w:left="5846" w:hanging="360"/>
      </w:pPr>
      <w:rPr/>
    </w:lvl>
    <w:lvl w:ilvl="8">
      <w:start w:val="1"/>
      <w:numFmt w:val="lowerRoman"/>
      <w:lvlText w:val="%9."/>
      <w:lvlJc w:val="right"/>
      <w:pPr>
        <w:ind w:left="6566" w:hanging="180"/>
      </w:pPr>
      <w:rPr/>
    </w:lvl>
  </w:abstractNum>
  <w:abstractNum w:abstractNumId="11">
    <w:lvl w:ilvl="0">
      <w:start w:val="1"/>
      <w:numFmt w:val="lowerLetter"/>
      <w:lvlText w:val="%1)"/>
      <w:lvlJc w:val="left"/>
      <w:pPr>
        <w:ind w:left="345"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1">
    <w:basedOn w:val="TableNormal"/>
    <w:tblPr>
      <w:tblStyleRowBandSize w:val="1"/>
      <w:tblStyleColBandSize w:val="1"/>
      <w:tblCellMar>
        <w:top w:w="57.0" w:type="dxa"/>
        <w:left w:w="115.0" w:type="dxa"/>
        <w:bottom w:w="5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K2HhfSvQrIpPbB+hYTAOmW31g==">CgMxLjAyCGguZ2pkZ3hzMg5oLjJmNnExbGVocGRxdzIJaC4zMGowemxsMgloLjFmb2I5dGU4AHIhMVl6YzA4M1RESmdDaW55cVlodG5fNVFEbXAwZlNSa2NC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